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2" w:rsidRDefault="005742A2" w:rsidP="005742A2">
      <w:pPr>
        <w:tabs>
          <w:tab w:val="left" w:pos="851"/>
        </w:tabs>
        <w:spacing w:after="0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19696E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Tehničko rješenje korišćenja radio-frekvencija </w:t>
      </w:r>
      <w:r w:rsidRPr="001D3E6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od strane </w:t>
      </w:r>
      <w:r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kopnene </w:t>
      </w:r>
      <w:r w:rsidRPr="001D3E6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radio stanice u </w:t>
      </w:r>
      <w:r w:rsidR="001915BB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vazduhoplovnoj</w:t>
      </w:r>
      <w:r w:rsidRPr="001D3E6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 mobilnoj službi</w:t>
      </w:r>
    </w:p>
    <w:p w:rsidR="005742A2" w:rsidRPr="0019696E" w:rsidRDefault="005742A2" w:rsidP="005742A2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742A2" w:rsidRPr="0019696E" w:rsidRDefault="005742A2" w:rsidP="005742A2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 korišćenja radio-frekvencija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od strane kopnene radio stanice u </w:t>
      </w:r>
      <w:r w:rsidR="001915BB">
        <w:rPr>
          <w:rFonts w:ascii="RobotoLight" w:eastAsia="Times New Roman" w:hAnsi="RobotoLight" w:cs="Times New Roman"/>
          <w:color w:val="3D3D3D"/>
          <w:sz w:val="23"/>
          <w:szCs w:val="23"/>
        </w:rPr>
        <w:t>vazduhoplovnoj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mobilnoj službi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dostavlja se u formi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glavnog projekta, izrađenog od strane ovlašćenog projektanta.</w:t>
      </w:r>
    </w:p>
    <w:p w:rsidR="005742A2" w:rsidRDefault="005742A2" w:rsidP="005742A2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742A2" w:rsidRPr="00E75CE2" w:rsidRDefault="005742A2" w:rsidP="005742A2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Glavni projekat korišćenja radio-frekvencija obavezno sadrži sljedeće: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 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5742A2" w:rsidRDefault="005742A2" w:rsidP="005742A2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742A2" w:rsidRPr="00E75CE2" w:rsidRDefault="005742A2" w:rsidP="005742A2">
      <w:p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 kao dio glavnog projekta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korišćenja radio-frekvencija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od strane kopnene radio stanice u </w:t>
      </w:r>
      <w:r w:rsidR="001915BB">
        <w:rPr>
          <w:rFonts w:ascii="RobotoLight" w:eastAsia="Times New Roman" w:hAnsi="RobotoLight" w:cs="Times New Roman"/>
          <w:color w:val="3D3D3D"/>
          <w:sz w:val="23"/>
          <w:szCs w:val="23"/>
        </w:rPr>
        <w:t>vazduhoplovnoj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mobilnoj službi, 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obavezno sadrži sljedeće: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podatke o lokaciji radio stanice (naziv uže lokacije, opština, mapa lokacije, opis lokacije sa opisom pristupa lokaciji, geografska širina i dužina po Griniču (WGS84), nadmorska visina),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podatke o traženom radio-frekvencijskom opsegu, širini i broju traženih radio kanala,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podatke o predajniku/prijemniku (radni opseg, izlazna snaga, prag prijema), 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opis predviđenog antenskog sistema sa karakteristikama zračenja (tip, električne karakteristike, polarizacija, azimut i elevacioni ugao glavnog snopa, pozicija),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proračun ekvivalentno izotropno izračene snage (EIRP) u pravcima maksimalnog zračenja,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predikciju prijemnog polja i prikaz geografske oblasti pokrivanja sa ucrtanom zonom servisa,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714" w:hanging="357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procjenu uticaja EM zračenja na životnu sredinu, sa proračunom oblika i dimenzija zone nedozvoljenog zračenja za postojeće i novoprojektovano stanje (umjesto proračuna oblika i dimenzija zone nedozvoljenog zračenja može se priložiti izvještaj o izvršenom mjerenju jačine električnog polja u okolini antenskog sistema).</w:t>
      </w:r>
    </w:p>
    <w:p w:rsidR="005742A2" w:rsidRDefault="005742A2" w:rsidP="005742A2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742A2" w:rsidRDefault="005742A2" w:rsidP="005742A2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Sastavni dio glavnog projekta je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popunjena tabela sa tehničkim parametrima.</w:t>
      </w: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FC593D" w:rsidRDefault="00FC593D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FC593D" w:rsidRDefault="00FC593D" w:rsidP="00FC593D">
      <w:pPr>
        <w:tabs>
          <w:tab w:val="left" w:pos="0"/>
          <w:tab w:val="left" w:pos="993"/>
        </w:tabs>
        <w:spacing w:after="120"/>
        <w:jc w:val="both"/>
        <w:rPr>
          <w:rFonts w:ascii="Arial" w:hAnsi="Arial" w:cs="Arial"/>
          <w:b/>
          <w:color w:val="000000" w:themeColor="text1"/>
          <w:lang w:val="sr-Latn-CS"/>
        </w:rPr>
      </w:pPr>
      <w:r w:rsidRPr="00303FC9">
        <w:rPr>
          <w:rFonts w:ascii="Arial" w:hAnsi="Arial" w:cs="Arial"/>
          <w:b/>
          <w:lang w:val="sr-Latn-CS"/>
        </w:rPr>
        <w:t xml:space="preserve">Tehnički parametri kopnene </w:t>
      </w:r>
      <w:r w:rsidRPr="00303FC9">
        <w:rPr>
          <w:rFonts w:ascii="Arial" w:hAnsi="Arial" w:cs="Arial"/>
          <w:b/>
          <w:color w:val="000000" w:themeColor="text1"/>
          <w:lang w:val="sr-Latn-CS"/>
        </w:rPr>
        <w:t xml:space="preserve">radio stanice u </w:t>
      </w:r>
      <w:r w:rsidR="001915BB">
        <w:rPr>
          <w:rFonts w:ascii="Arial" w:hAnsi="Arial" w:cs="Arial"/>
          <w:b/>
          <w:color w:val="000000" w:themeColor="text1"/>
          <w:lang w:val="sr-Latn-CS"/>
        </w:rPr>
        <w:t>vazduhoplovnoj</w:t>
      </w:r>
      <w:bookmarkStart w:id="0" w:name="_GoBack"/>
      <w:bookmarkEnd w:id="0"/>
      <w:r w:rsidRPr="00303FC9">
        <w:rPr>
          <w:rFonts w:ascii="Arial" w:hAnsi="Arial" w:cs="Arial"/>
          <w:b/>
          <w:color w:val="000000" w:themeColor="text1"/>
          <w:lang w:val="sr-Latn-CS"/>
        </w:rPr>
        <w:t xml:space="preserve"> mobilnoj službi</w:t>
      </w:r>
    </w:p>
    <w:p w:rsidR="00FC593D" w:rsidRPr="00303FC9" w:rsidRDefault="00FC593D" w:rsidP="00FC593D">
      <w:pPr>
        <w:tabs>
          <w:tab w:val="left" w:pos="0"/>
          <w:tab w:val="left" w:pos="993"/>
        </w:tabs>
        <w:spacing w:after="120"/>
        <w:jc w:val="both"/>
        <w:rPr>
          <w:rFonts w:ascii="Arial" w:hAnsi="Arial" w:cs="Arial"/>
          <w:b/>
          <w:color w:val="000000" w:themeColor="text1"/>
          <w:lang w:val="sr-Latn-CS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382"/>
      </w:tblGrid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Tehnički parametri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536886" w:rsidRDefault="00FC593D" w:rsidP="00FC593D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536886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Naziv predajnika/prijemnika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lokaciji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Naziv uže lokacije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77327E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Opština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77327E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Geografske koordinate (WGS84)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Nadmorska visina terena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[m]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predajnim/prijemnim radio-frekvencijama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Radio-frekvencijski opseg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77327E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Predajna frekvencija 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[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kHz/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MHz]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77327E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Prijemna frekvencija 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[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kHz/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MHz]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Širina kanala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[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kHz/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MHz]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Pod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aci o predajniku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opsega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signala 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i vrsta emisije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Tip snage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Jedinica snage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 xml:space="preserve">Izlazna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snaga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 xml:space="preserve">predajnika 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Ekv. izotr. izračena snaga (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EIRP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anteni/</w:t>
            </w: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antenskom sistemu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Tip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antene/antenskog sistema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Usmjerenost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Azimut glavnog snopa [°]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Elevacioni ugao glavnog snopa [°]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ED2510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hor.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ED2510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vert.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Polarizacija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Visina iznad terena [m]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Dobitak [dBi]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Odnos naprijed-nazad [dB]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Ostali p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odaci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  <w:p w:rsidR="00FC593D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</w:tbl>
    <w:p w:rsidR="00FC593D" w:rsidRDefault="00FC593D" w:rsidP="00FC593D">
      <w:pPr>
        <w:spacing w:before="120"/>
        <w:jc w:val="both"/>
        <w:rPr>
          <w:rFonts w:ascii="Arial" w:hAnsi="Arial" w:cs="Arial"/>
          <w:lang w:val="sr-Latn-CS"/>
        </w:rPr>
      </w:pPr>
    </w:p>
    <w:p w:rsidR="00E2485D" w:rsidRDefault="00E2485D"/>
    <w:sectPr w:rsidR="00E2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Times">
    <w:altName w:val="Times New Roman"/>
    <w:panose1 w:val="00000000000000000000"/>
    <w:charset w:val="00"/>
    <w:family w:val="roman"/>
    <w:notTrueType/>
    <w:pitch w:val="default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B3DD8"/>
    <w:multiLevelType w:val="hybridMultilevel"/>
    <w:tmpl w:val="75106B9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E52"/>
    <w:multiLevelType w:val="hybridMultilevel"/>
    <w:tmpl w:val="C4B26EC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A2"/>
    <w:rsid w:val="001915BB"/>
    <w:rsid w:val="003811CA"/>
    <w:rsid w:val="005742A2"/>
    <w:rsid w:val="00E2485D"/>
    <w:rsid w:val="00F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F1AED-A639-4761-83BA-534E944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2A2"/>
    <w:pPr>
      <w:ind w:left="720"/>
      <w:contextualSpacing/>
    </w:pPr>
  </w:style>
  <w:style w:type="paragraph" w:customStyle="1" w:styleId="PARAGRAF-1">
    <w:name w:val="PARAGRAF-1"/>
    <w:basedOn w:val="Normal"/>
    <w:rsid w:val="005742A2"/>
    <w:pPr>
      <w:widowControl w:val="0"/>
      <w:tabs>
        <w:tab w:val="num" w:pos="1276"/>
      </w:tabs>
      <w:spacing w:before="120" w:after="0" w:line="240" w:lineRule="auto"/>
      <w:ind w:left="1276" w:hanging="1134"/>
      <w:jc w:val="both"/>
    </w:pPr>
    <w:rPr>
      <w:rFonts w:ascii="YuTimes" w:eastAsia="Times New Roman" w:hAnsi="YuTimes" w:cs="Times New Roman"/>
      <w:snapToGrid w:val="0"/>
      <w:spacing w:val="-2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3</cp:revision>
  <dcterms:created xsi:type="dcterms:W3CDTF">2021-03-05T13:18:00Z</dcterms:created>
  <dcterms:modified xsi:type="dcterms:W3CDTF">2021-03-05T13:20:00Z</dcterms:modified>
</cp:coreProperties>
</file>